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bookmarkStart w:id="0" w:name="_GoBack"/>
      <w:r>
        <w:rPr>
          <w:rFonts w:hint="eastAsia" w:ascii="方正小标宋简体" w:hAnsi="方正小标宋简体" w:eastAsia="方正小标宋简体" w:cs="方正小标宋简体"/>
          <w:i w:val="0"/>
          <w:color w:val="000000"/>
          <w:kern w:val="0"/>
          <w:sz w:val="36"/>
          <w:szCs w:val="36"/>
          <w:u w:val="none"/>
          <w:lang w:val="en-US" w:eastAsia="zh-CN" w:bidi="ar"/>
        </w:rPr>
        <w:t>楚雄州政务服务管理局政府信息公开基本目录</w:t>
      </w:r>
    </w:p>
    <w:tbl>
      <w:tblPr>
        <w:tblStyle w:val="3"/>
        <w:tblW w:w="15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85"/>
        <w:gridCol w:w="1095"/>
        <w:gridCol w:w="1245"/>
        <w:gridCol w:w="3630"/>
        <w:gridCol w:w="1680"/>
        <w:gridCol w:w="1260"/>
        <w:gridCol w:w="1185"/>
        <w:gridCol w:w="1455"/>
        <w:gridCol w:w="1605"/>
        <w:gridCol w:w="495"/>
        <w:gridCol w:w="435"/>
        <w:gridCol w:w="450"/>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15" w:hRule="atLeast"/>
          <w:jc w:val="center"/>
        </w:trPr>
        <w:tc>
          <w:tcPr>
            <w:tcW w:w="58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序号</w:t>
            </w:r>
          </w:p>
        </w:tc>
        <w:tc>
          <w:tcPr>
            <w:tcW w:w="2340"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公开事项</w:t>
            </w:r>
          </w:p>
        </w:tc>
        <w:tc>
          <w:tcPr>
            <w:tcW w:w="363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公开内容</w:t>
            </w:r>
          </w:p>
        </w:tc>
        <w:tc>
          <w:tcPr>
            <w:tcW w:w="168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公开依据</w:t>
            </w:r>
          </w:p>
        </w:tc>
        <w:tc>
          <w:tcPr>
            <w:tcW w:w="126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公开主体</w:t>
            </w:r>
          </w:p>
        </w:tc>
        <w:tc>
          <w:tcPr>
            <w:tcW w:w="118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责任科室</w:t>
            </w:r>
          </w:p>
        </w:tc>
        <w:tc>
          <w:tcPr>
            <w:tcW w:w="145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公开时限</w:t>
            </w:r>
          </w:p>
        </w:tc>
        <w:tc>
          <w:tcPr>
            <w:tcW w:w="160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公开渠道</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和载体</w:t>
            </w:r>
          </w:p>
        </w:tc>
        <w:tc>
          <w:tcPr>
            <w:tcW w:w="930"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对象</w:t>
            </w:r>
          </w:p>
        </w:tc>
        <w:tc>
          <w:tcPr>
            <w:tcW w:w="886"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5" w:hRule="atLeast"/>
          <w:jc w:val="center"/>
        </w:trPr>
        <w:tc>
          <w:tcPr>
            <w:tcW w:w="58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0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一级事项</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二级事项</w:t>
            </w:r>
          </w:p>
        </w:tc>
        <w:tc>
          <w:tcPr>
            <w:tcW w:w="363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68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26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18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45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60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全社会</w:t>
            </w:r>
          </w:p>
        </w:tc>
        <w:tc>
          <w:tcPr>
            <w:tcW w:w="4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特定群体</w:t>
            </w: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主动公开</w:t>
            </w:r>
          </w:p>
        </w:tc>
        <w:tc>
          <w:tcPr>
            <w:tcW w:w="43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9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政府信息公开相关</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政府信息公开指南</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政府信息公开工作机构的名称、办公地址、办公时间、联系方式和政府信息主动公开的范围、渠道、时限，依申请公开的申请方式、答复时限，不予公开事项及监督保障渠道等内容。</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信息技术科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政府网站专栏</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c>
          <w:tcPr>
            <w:tcW w:w="109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政府信息公开制度</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政府信息公开工作相关制度、文件。</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信息技术科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政府网站专栏</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z w:val="21"/>
                <w:szCs w:val="21"/>
                <w:u w:val="none"/>
                <w:lang w:val="en-US" w:eastAsia="zh-CN"/>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w:t>
            </w:r>
          </w:p>
        </w:tc>
        <w:tc>
          <w:tcPr>
            <w:tcW w:w="109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政府信息公开年报</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1.本机关主动公开政府信息的情况；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2.本机关收到和处理政府信息公开申请的情况；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3.因政府信息公开工作被申请行政复议、提起行政诉讼的情况；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4.政府信息公开工作存在的主要问题及改进情况；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5.其他需要报告的事项。</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信息技术科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次年1月31日前</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政府网站专栏</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109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机关简介</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领导信息</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局领导姓名、职务、照片、分工、简历信息。</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局</w:t>
            </w:r>
            <w:r>
              <w:rPr>
                <w:rFonts w:hint="eastAsia" w:ascii="宋体" w:hAnsi="宋体" w:eastAsia="宋体" w:cs="宋体"/>
                <w:i w:val="0"/>
                <w:color w:val="000000"/>
                <w:kern w:val="0"/>
                <w:sz w:val="21"/>
                <w:szCs w:val="21"/>
                <w:u w:val="none"/>
                <w:lang w:val="en-US" w:eastAsia="zh-CN" w:bidi="ar"/>
              </w:rPr>
              <w:t>办公室</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政府网站专栏</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2"/>
                <w:sz w:val="21"/>
                <w:szCs w:val="21"/>
                <w:u w:val="none"/>
                <w:lang w:val="en-US" w:eastAsia="zh-CN" w:bidi="ar-SA"/>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kern w:val="2"/>
                <w:sz w:val="21"/>
                <w:szCs w:val="21"/>
                <w:u w:val="none"/>
                <w:lang w:val="en-US" w:eastAsia="zh-CN" w:bidi="ar-SA"/>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2"/>
                <w:sz w:val="21"/>
                <w:szCs w:val="21"/>
                <w:u w:val="none"/>
                <w:lang w:val="en-US" w:eastAsia="zh-CN" w:bidi="ar-SA"/>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机构职能</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基本信息、职能职责。</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局</w:t>
            </w:r>
            <w:r>
              <w:rPr>
                <w:rFonts w:hint="eastAsia" w:ascii="宋体" w:hAnsi="宋体" w:eastAsia="宋体" w:cs="宋体"/>
                <w:i w:val="0"/>
                <w:color w:val="000000"/>
                <w:kern w:val="0"/>
                <w:sz w:val="21"/>
                <w:szCs w:val="21"/>
                <w:u w:val="none"/>
                <w:lang w:val="en-US" w:eastAsia="zh-CN" w:bidi="ar"/>
              </w:rPr>
              <w:t>办公室</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政府网站专栏</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机构设置</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内设科室、职能，联系电话。</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rPr>
              <w:t>局</w:t>
            </w:r>
            <w:r>
              <w:rPr>
                <w:rFonts w:hint="eastAsia" w:ascii="宋体" w:hAnsi="宋体" w:eastAsia="宋体" w:cs="宋体"/>
                <w:i w:val="0"/>
                <w:color w:val="000000"/>
                <w:kern w:val="0"/>
                <w:sz w:val="21"/>
                <w:szCs w:val="21"/>
                <w:u w:val="none"/>
                <w:lang w:val="en-US" w:eastAsia="zh-CN" w:bidi="ar"/>
              </w:rPr>
              <w:t>办公室</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政府网站专栏</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w:t>
            </w:r>
          </w:p>
        </w:tc>
        <w:tc>
          <w:tcPr>
            <w:tcW w:w="10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业务信息</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lang w:eastAsia="zh-CN"/>
              </w:rPr>
              <w:t>业务信息</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部门工作动态。</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lang w:val="en-US" w:eastAsia="zh-CN"/>
              </w:rPr>
              <w:t>信息技术科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政府网站专栏</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kern w:val="2"/>
                <w:sz w:val="21"/>
                <w:szCs w:val="21"/>
                <w:u w:val="none"/>
                <w:lang w:val="en-US" w:eastAsia="zh-CN" w:bidi="ar-SA"/>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8</w:t>
            </w:r>
          </w:p>
        </w:tc>
        <w:tc>
          <w:tcPr>
            <w:tcW w:w="10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rPr>
              <w:t>部门文件</w:t>
            </w:r>
          </w:p>
        </w:tc>
        <w:tc>
          <w:tcPr>
            <w:tcW w:w="124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部门文件</w:t>
            </w:r>
          </w:p>
        </w:tc>
        <w:tc>
          <w:tcPr>
            <w:tcW w:w="363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州政务服务局文件类型为“楚政服发”文件。如涉密等其他原因不公开的除外。</w:t>
            </w:r>
          </w:p>
        </w:tc>
        <w:tc>
          <w:tcPr>
            <w:tcW w:w="168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局办公室</w:t>
            </w:r>
          </w:p>
        </w:tc>
        <w:tc>
          <w:tcPr>
            <w:tcW w:w="145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信息形成或变更之日起3个工作日内</w:t>
            </w:r>
          </w:p>
        </w:tc>
        <w:tc>
          <w:tcPr>
            <w:tcW w:w="160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政府网站</w:t>
            </w:r>
            <w:r>
              <w:rPr>
                <w:rFonts w:hint="eastAsia" w:ascii="宋体" w:hAnsi="宋体" w:eastAsia="宋体" w:cs="宋体"/>
                <w:i w:val="0"/>
                <w:color w:val="000000"/>
                <w:sz w:val="21"/>
                <w:szCs w:val="21"/>
                <w:u w:val="none"/>
                <w:lang w:eastAsia="zh-CN"/>
              </w:rPr>
              <w:t>专栏</w:t>
            </w:r>
          </w:p>
        </w:tc>
        <w:tc>
          <w:tcPr>
            <w:tcW w:w="4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9</w:t>
            </w:r>
          </w:p>
        </w:tc>
        <w:tc>
          <w:tcPr>
            <w:tcW w:w="10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财政信息</w:t>
            </w:r>
          </w:p>
        </w:tc>
        <w:tc>
          <w:tcPr>
            <w:tcW w:w="124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eastAsia="zh-CN"/>
              </w:rPr>
              <w:t>财政信息</w:t>
            </w:r>
          </w:p>
        </w:tc>
        <w:tc>
          <w:tcPr>
            <w:tcW w:w="363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部门财政预算、决算及“三公”经费信息。</w:t>
            </w:r>
          </w:p>
        </w:tc>
        <w:tc>
          <w:tcPr>
            <w:tcW w:w="168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《中华人民共和国政府信息公开条例》（国务院令第711号）、《财政部关于推进省以下预决算公开工作的通知》（财预〔2013〕309号）</w:t>
            </w:r>
          </w:p>
        </w:tc>
        <w:tc>
          <w:tcPr>
            <w:tcW w:w="126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信息技术科</w:t>
            </w:r>
          </w:p>
        </w:tc>
        <w:tc>
          <w:tcPr>
            <w:tcW w:w="145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政府网站</w:t>
            </w:r>
            <w:r>
              <w:rPr>
                <w:rFonts w:hint="eastAsia" w:ascii="宋体" w:hAnsi="宋体" w:eastAsia="宋体" w:cs="宋体"/>
                <w:i w:val="0"/>
                <w:color w:val="000000"/>
                <w:sz w:val="21"/>
                <w:szCs w:val="21"/>
                <w:u w:val="none"/>
                <w:lang w:eastAsia="zh-CN"/>
              </w:rPr>
              <w:t>专栏</w:t>
            </w:r>
          </w:p>
        </w:tc>
        <w:tc>
          <w:tcPr>
            <w:tcW w:w="4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w:t>
            </w:r>
          </w:p>
        </w:tc>
        <w:tc>
          <w:tcPr>
            <w:tcW w:w="10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建议提案</w:t>
            </w:r>
          </w:p>
        </w:tc>
        <w:tc>
          <w:tcPr>
            <w:tcW w:w="124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eastAsia="zh-CN"/>
              </w:rPr>
              <w:t>建议提案</w:t>
            </w:r>
          </w:p>
        </w:tc>
        <w:tc>
          <w:tcPr>
            <w:tcW w:w="363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建议提案办理总体情况，办件复文。</w:t>
            </w:r>
          </w:p>
        </w:tc>
        <w:tc>
          <w:tcPr>
            <w:tcW w:w="168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《中华人民共和国政府信息公开条例》（国务院令第711号）、《楚雄州人民政府办公室关于认真做好州人大代表建议和州政协提案办理结果公开工作的通知》</w:t>
            </w:r>
          </w:p>
        </w:tc>
        <w:tc>
          <w:tcPr>
            <w:tcW w:w="126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信息技术科</w:t>
            </w:r>
          </w:p>
        </w:tc>
        <w:tc>
          <w:tcPr>
            <w:tcW w:w="145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信息形成之日起20个工作日内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政府网站</w:t>
            </w:r>
            <w:r>
              <w:rPr>
                <w:rFonts w:hint="eastAsia" w:ascii="宋体" w:hAnsi="宋体" w:eastAsia="宋体" w:cs="宋体"/>
                <w:i w:val="0"/>
                <w:color w:val="000000"/>
                <w:sz w:val="21"/>
                <w:szCs w:val="21"/>
                <w:u w:val="none"/>
                <w:lang w:eastAsia="zh-CN"/>
              </w:rPr>
              <w:t>专栏</w:t>
            </w:r>
          </w:p>
        </w:tc>
        <w:tc>
          <w:tcPr>
            <w:tcW w:w="4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11</w:t>
            </w:r>
          </w:p>
        </w:tc>
        <w:tc>
          <w:tcPr>
            <w:tcW w:w="10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公共资源交易信息</w:t>
            </w:r>
          </w:p>
        </w:tc>
        <w:tc>
          <w:tcPr>
            <w:tcW w:w="124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eastAsia="zh-CN"/>
              </w:rPr>
              <w:t>公共资源交易信息</w:t>
            </w:r>
          </w:p>
        </w:tc>
        <w:tc>
          <w:tcPr>
            <w:tcW w:w="363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1.工程建设项目交易信息；</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2.政府采购项目交易信息；</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3.土地项目交易信息；</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4.矿业权项目交易信息；</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5.国有产权项目交易信息。</w:t>
            </w:r>
          </w:p>
        </w:tc>
        <w:tc>
          <w:tcPr>
            <w:tcW w:w="168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《云南省人民政府印发关于进一步规范公共资源交易加强监督管理的规定》（云政发〔2015〕55号）</w:t>
            </w:r>
          </w:p>
        </w:tc>
        <w:tc>
          <w:tcPr>
            <w:tcW w:w="126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楚雄州公共资源交易中心</w:t>
            </w:r>
          </w:p>
        </w:tc>
        <w:tc>
          <w:tcPr>
            <w:tcW w:w="145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信息形成或变更之日起3个工作日内</w:t>
            </w:r>
          </w:p>
        </w:tc>
        <w:tc>
          <w:tcPr>
            <w:tcW w:w="160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楚雄州公共资源交易电子服务系统</w:t>
            </w:r>
          </w:p>
        </w:tc>
        <w:tc>
          <w:tcPr>
            <w:tcW w:w="4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w:t>
            </w:r>
          </w:p>
        </w:tc>
        <w:tc>
          <w:tcPr>
            <w:tcW w:w="109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办件统计</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lang w:eastAsia="zh-CN"/>
              </w:rPr>
              <w:t>办件统计</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发布全州政务服务事项办理情况。</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rPr>
              <w:t>楚雄州政务服务管理局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lang w:val="en-US" w:eastAsia="zh-CN"/>
              </w:rPr>
              <w:t>信息技术科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rPr>
              <w:t>信息形成或变更之日起3个工作日内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rPr>
              <w:t>政府网站</w:t>
            </w:r>
            <w:r>
              <w:rPr>
                <w:rFonts w:hint="eastAsia" w:ascii="宋体" w:hAnsi="宋体" w:eastAsia="宋体" w:cs="宋体"/>
                <w:i w:val="0"/>
                <w:color w:val="000000"/>
                <w:sz w:val="21"/>
                <w:szCs w:val="21"/>
                <w:u w:val="none"/>
                <w:lang w:eastAsia="zh-CN"/>
              </w:rPr>
              <w:t>专栏</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bl>
    <w:p/>
    <w:bookmarkEnd w:id="0"/>
    <w:sectPr>
      <w:pgSz w:w="16838" w:h="11906" w:orient="landscape"/>
      <w:pgMar w:top="1800" w:right="1440" w:bottom="180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565CE"/>
    <w:rsid w:val="17E02580"/>
    <w:rsid w:val="24937EB1"/>
    <w:rsid w:val="29CB1756"/>
    <w:rsid w:val="34B82D7E"/>
    <w:rsid w:val="3BE52978"/>
    <w:rsid w:val="4FC565CE"/>
    <w:rsid w:val="66F12168"/>
    <w:rsid w:val="7FE77A0C"/>
    <w:rsid w:val="DBFF50BF"/>
    <w:rsid w:val="DDCBFA14"/>
    <w:rsid w:val="F35BFABC"/>
    <w:rsid w:val="FBCF54D1"/>
    <w:rsid w:val="FFFFB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2023-08-04T09:31:00Z</dcterms:created>
  <dc:creator>孙开有</dc:creator>
  <cp:lastModifiedBy>毛丽菊</cp:lastModifiedBy>
  <dcterms:modified xsi:type="dcterms:W3CDTF">2024-08-06T06:48:10Z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